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2C15" w14:textId="77777777" w:rsidR="007440EA" w:rsidRDefault="00B418AC" w:rsidP="007B281E">
      <w:pPr>
        <w:pStyle w:val="Ttulo3"/>
        <w:jc w:val="center"/>
        <w:rPr>
          <w:rFonts w:ascii="Arial" w:hAnsi="Arial" w:cs="Arial"/>
        </w:rPr>
      </w:pPr>
      <w:r w:rsidRPr="00B418AC">
        <w:rPr>
          <w:rFonts w:ascii="Arial" w:hAnsi="Arial" w:cs="Arial"/>
        </w:rPr>
        <w:t xml:space="preserve">INSTRUCTIVO DE TOMA DE MUESTRAS DE AGUA </w:t>
      </w:r>
    </w:p>
    <w:p w14:paraId="01744C54" w14:textId="1987B8B1" w:rsidR="00B418AC" w:rsidRDefault="00B418AC" w:rsidP="007B281E">
      <w:pPr>
        <w:pStyle w:val="Ttulo3"/>
        <w:jc w:val="center"/>
        <w:rPr>
          <w:rFonts w:ascii="Arial" w:hAnsi="Arial" w:cs="Arial"/>
        </w:rPr>
      </w:pPr>
      <w:r w:rsidRPr="00B418AC">
        <w:rPr>
          <w:rFonts w:ascii="Arial" w:hAnsi="Arial" w:cs="Arial"/>
        </w:rPr>
        <w:t>(CONSUMO HUMANO, ANIMAL Y RIEGO)</w:t>
      </w:r>
    </w:p>
    <w:p w14:paraId="65A0D26F" w14:textId="77777777" w:rsidR="00B418AC" w:rsidRPr="00B418AC" w:rsidRDefault="00B418AC" w:rsidP="00B418AC"/>
    <w:p w14:paraId="65B5D4B3" w14:textId="77777777" w:rsidR="00B418AC" w:rsidRPr="00B418AC" w:rsidRDefault="00B418AC" w:rsidP="00B418AC">
      <w:pPr>
        <w:pStyle w:val="Ttulo4"/>
        <w:jc w:val="both"/>
        <w:rPr>
          <w:rFonts w:ascii="Arial" w:hAnsi="Arial" w:cs="Arial"/>
        </w:rPr>
      </w:pPr>
      <w:r w:rsidRPr="00B418AC">
        <w:rPr>
          <w:rFonts w:ascii="Arial" w:hAnsi="Arial" w:cs="Arial"/>
        </w:rPr>
        <w:t>1. Consideraciones y Materiales</w:t>
      </w:r>
    </w:p>
    <w:p w14:paraId="0BADBD4F" w14:textId="77777777" w:rsidR="00B418AC" w:rsidRPr="00B418AC" w:rsidRDefault="00B418AC" w:rsidP="00B418AC">
      <w:pPr>
        <w:pStyle w:val="NormalWeb"/>
        <w:jc w:val="both"/>
        <w:rPr>
          <w:rFonts w:ascii="Arial" w:hAnsi="Arial" w:cs="Arial"/>
        </w:rPr>
      </w:pPr>
      <w:r w:rsidRPr="00B418AC">
        <w:rPr>
          <w:rFonts w:ascii="Arial" w:hAnsi="Arial" w:cs="Arial"/>
          <w:b/>
          <w:bCs/>
        </w:rPr>
        <w:t>Materiales necesarios:</w:t>
      </w:r>
    </w:p>
    <w:p w14:paraId="234430DB" w14:textId="77777777" w:rsidR="00B418AC" w:rsidRPr="00B418AC" w:rsidRDefault="00B418AC" w:rsidP="00B418AC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</w:rPr>
        <w:t xml:space="preserve">Botella de vidrio o plástico color ámbar (1000 </w:t>
      </w:r>
      <w:proofErr w:type="spellStart"/>
      <w:r w:rsidRPr="00B418AC">
        <w:rPr>
          <w:rFonts w:ascii="Arial" w:hAnsi="Arial" w:cs="Arial"/>
        </w:rPr>
        <w:t>mL</w:t>
      </w:r>
      <w:proofErr w:type="spellEnd"/>
      <w:r w:rsidRPr="00B418AC">
        <w:rPr>
          <w:rFonts w:ascii="Arial" w:hAnsi="Arial" w:cs="Arial"/>
        </w:rPr>
        <w:t>).</w:t>
      </w:r>
    </w:p>
    <w:p w14:paraId="0A12FB08" w14:textId="77777777" w:rsidR="00B418AC" w:rsidRPr="00B418AC" w:rsidRDefault="00B418AC" w:rsidP="00B418AC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</w:rPr>
        <w:t>Recolector estéril (</w:t>
      </w:r>
      <w:r w:rsidR="007B281E">
        <w:rPr>
          <w:rFonts w:ascii="Arial" w:hAnsi="Arial" w:cs="Arial"/>
        </w:rPr>
        <w:t>250</w:t>
      </w:r>
      <w:r w:rsidRPr="00B418AC">
        <w:rPr>
          <w:rFonts w:ascii="Arial" w:hAnsi="Arial" w:cs="Arial"/>
        </w:rPr>
        <w:t xml:space="preserve"> </w:t>
      </w:r>
      <w:proofErr w:type="spellStart"/>
      <w:r w:rsidRPr="00B418AC">
        <w:rPr>
          <w:rFonts w:ascii="Arial" w:hAnsi="Arial" w:cs="Arial"/>
        </w:rPr>
        <w:t>mL</w:t>
      </w:r>
      <w:proofErr w:type="spellEnd"/>
      <w:r w:rsidRPr="00B418AC">
        <w:rPr>
          <w:rFonts w:ascii="Arial" w:hAnsi="Arial" w:cs="Arial"/>
        </w:rPr>
        <w:t>).</w:t>
      </w:r>
    </w:p>
    <w:p w14:paraId="15352199" w14:textId="77777777" w:rsidR="00B418AC" w:rsidRPr="00B418AC" w:rsidRDefault="00B418AC" w:rsidP="00B418AC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</w:rPr>
        <w:t>Encendedor, mechero o hisopo con algodón y alcohol.</w:t>
      </w:r>
    </w:p>
    <w:p w14:paraId="3256AD32" w14:textId="77777777" w:rsidR="00B418AC" w:rsidRPr="00B418AC" w:rsidRDefault="00B418AC" w:rsidP="00B418AC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</w:rPr>
        <w:t>Papel, cinta adhesiva y marcador de tinta indeleble.</w:t>
      </w:r>
    </w:p>
    <w:p w14:paraId="423F1CFF" w14:textId="77777777" w:rsidR="00B418AC" w:rsidRPr="00B418AC" w:rsidRDefault="00B418AC" w:rsidP="00B418AC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</w:rPr>
        <w:t>Conservadora con hielo o gel refrigerante.</w:t>
      </w:r>
    </w:p>
    <w:p w14:paraId="0A484792" w14:textId="77777777" w:rsidR="00B418AC" w:rsidRPr="00B418AC" w:rsidRDefault="007B281E" w:rsidP="007B281E">
      <w:pPr>
        <w:pStyle w:val="Ttulo4"/>
        <w:jc w:val="both"/>
        <w:rPr>
          <w:rFonts w:ascii="Arial" w:hAnsi="Arial" w:cs="Arial"/>
        </w:rPr>
      </w:pPr>
      <w:r w:rsidRPr="007B281E">
        <w:rPr>
          <w:rFonts w:ascii="Arial" w:hAnsi="Arial" w:cs="Arial"/>
        </w:rPr>
        <w:t xml:space="preserve">2. </w:t>
      </w:r>
      <w:r w:rsidR="00B418AC" w:rsidRPr="007B281E">
        <w:rPr>
          <w:rFonts w:ascii="Arial" w:hAnsi="Arial" w:cs="Arial"/>
        </w:rPr>
        <w:t>Precauciones según el origen de la muestra:</w:t>
      </w:r>
    </w:p>
    <w:p w14:paraId="11EE52DB" w14:textId="77777777" w:rsidR="007B281E" w:rsidRDefault="00B418AC" w:rsidP="00B418AC">
      <w:pPr>
        <w:pStyle w:val="NormalWeb"/>
        <w:numPr>
          <w:ilvl w:val="0"/>
          <w:numId w:val="11"/>
        </w:numPr>
        <w:jc w:val="both"/>
        <w:rPr>
          <w:rFonts w:ascii="Arial" w:hAnsi="Arial" w:cs="Arial"/>
        </w:rPr>
      </w:pPr>
      <w:r w:rsidRPr="007B281E">
        <w:rPr>
          <w:rFonts w:ascii="Arial" w:hAnsi="Arial" w:cs="Arial"/>
          <w:b/>
          <w:bCs/>
        </w:rPr>
        <w:t>Agua de perforación, pozo calzado o red:</w:t>
      </w:r>
      <w:r w:rsidRPr="007B281E">
        <w:rPr>
          <w:rFonts w:ascii="Arial" w:hAnsi="Arial" w:cs="Arial"/>
        </w:rPr>
        <w:t xml:space="preserve"> Se debe flamear el grifo (metálico) o desinfectarlo (plástico). El agua debe provenir directamente de la fuente o depósito principal. </w:t>
      </w:r>
      <w:r w:rsidR="007B281E">
        <w:rPr>
          <w:rFonts w:ascii="Arial" w:hAnsi="Arial" w:cs="Arial"/>
        </w:rPr>
        <w:t>Debe dejarse correr el agua luego de flamear/desinfectar un par de minutos.</w:t>
      </w:r>
    </w:p>
    <w:p w14:paraId="7EED527A" w14:textId="77777777" w:rsidR="00B418AC" w:rsidRPr="007B281E" w:rsidRDefault="00B418AC" w:rsidP="00B418AC">
      <w:pPr>
        <w:pStyle w:val="NormalWeb"/>
        <w:numPr>
          <w:ilvl w:val="0"/>
          <w:numId w:val="11"/>
        </w:numPr>
        <w:jc w:val="both"/>
        <w:rPr>
          <w:rFonts w:ascii="Arial" w:hAnsi="Arial" w:cs="Arial"/>
        </w:rPr>
      </w:pPr>
      <w:r w:rsidRPr="007B281E">
        <w:rPr>
          <w:rFonts w:ascii="Arial" w:hAnsi="Arial" w:cs="Arial"/>
          <w:b/>
          <w:bCs/>
        </w:rPr>
        <w:t>Agua de recurso superficial o depósito (río, canal, aljibe, cisterna):</w:t>
      </w:r>
      <w:r w:rsidRPr="007B281E">
        <w:rPr>
          <w:rFonts w:ascii="Arial" w:hAnsi="Arial" w:cs="Arial"/>
        </w:rPr>
        <w:t xml:space="preserve"> Lavarse previamente las manos con jabón antes de manipular los recipientes esterilizados.</w:t>
      </w:r>
    </w:p>
    <w:p w14:paraId="718217FD" w14:textId="77777777" w:rsidR="00B418AC" w:rsidRPr="00B418AC" w:rsidRDefault="007B281E" w:rsidP="00B418AC">
      <w:pPr>
        <w:pStyle w:val="Ttulo4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418AC" w:rsidRPr="00B418AC">
        <w:rPr>
          <w:rFonts w:ascii="Arial" w:hAnsi="Arial" w:cs="Arial"/>
        </w:rPr>
        <w:t>. Toma de Muestra para Análisis Físico-Químico</w:t>
      </w:r>
    </w:p>
    <w:p w14:paraId="26DF46EA" w14:textId="77777777" w:rsidR="00B418AC" w:rsidRPr="00B418AC" w:rsidRDefault="00B418AC" w:rsidP="00B418AC">
      <w:pPr>
        <w:pStyle w:val="NormalWeb"/>
        <w:numPr>
          <w:ilvl w:val="0"/>
          <w:numId w:val="12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  <w:b/>
          <w:bCs/>
        </w:rPr>
        <w:t>Rotular:</w:t>
      </w:r>
      <w:r w:rsidRPr="00B418AC">
        <w:rPr>
          <w:rFonts w:ascii="Arial" w:hAnsi="Arial" w:cs="Arial"/>
        </w:rPr>
        <w:t xml:space="preserve"> Identificar el recipiente (mínimo 1 litro de capacidad).</w:t>
      </w:r>
    </w:p>
    <w:p w14:paraId="5EB0382D" w14:textId="77777777" w:rsidR="00B418AC" w:rsidRPr="00B418AC" w:rsidRDefault="00B418AC" w:rsidP="00B418AC">
      <w:pPr>
        <w:pStyle w:val="NormalWeb"/>
        <w:numPr>
          <w:ilvl w:val="0"/>
          <w:numId w:val="12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  <w:b/>
          <w:bCs/>
        </w:rPr>
        <w:t>Enjuagar:</w:t>
      </w:r>
      <w:r w:rsidRPr="00B418AC">
        <w:rPr>
          <w:rFonts w:ascii="Arial" w:hAnsi="Arial" w:cs="Arial"/>
        </w:rPr>
        <w:t xml:space="preserve"> Lavar 2 a 3 veces el interior con el agua de la fuente a muestrear. Desechar el agua de enjuague.</w:t>
      </w:r>
    </w:p>
    <w:p w14:paraId="296806E4" w14:textId="77777777" w:rsidR="00B418AC" w:rsidRPr="00B418AC" w:rsidRDefault="00B418AC" w:rsidP="00B418AC">
      <w:pPr>
        <w:pStyle w:val="NormalWeb"/>
        <w:numPr>
          <w:ilvl w:val="0"/>
          <w:numId w:val="12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  <w:b/>
          <w:bCs/>
        </w:rPr>
        <w:t>Recoger:</w:t>
      </w:r>
      <w:r w:rsidRPr="00B418AC">
        <w:rPr>
          <w:rFonts w:ascii="Arial" w:hAnsi="Arial" w:cs="Arial"/>
        </w:rPr>
        <w:t xml:space="preserve"> Llenar el envase dejando un volumen mínimo libre (sin cámara de aire excesiva) para compensar variaciones térmicas. Si se utiliza un conservante, prever el espacio necesario.</w:t>
      </w:r>
    </w:p>
    <w:p w14:paraId="16DD2BED" w14:textId="77777777" w:rsidR="00B418AC" w:rsidRPr="00B418AC" w:rsidRDefault="00B418AC" w:rsidP="00B418AC">
      <w:pPr>
        <w:pStyle w:val="NormalWeb"/>
        <w:numPr>
          <w:ilvl w:val="0"/>
          <w:numId w:val="12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  <w:b/>
          <w:bCs/>
        </w:rPr>
        <w:t>Cerrar:</w:t>
      </w:r>
      <w:r w:rsidRPr="00B418AC">
        <w:rPr>
          <w:rFonts w:ascii="Arial" w:hAnsi="Arial" w:cs="Arial"/>
        </w:rPr>
        <w:t xml:space="preserve"> Asegurar un cierre hermético.</w:t>
      </w:r>
    </w:p>
    <w:p w14:paraId="3DEAE76F" w14:textId="77777777" w:rsidR="00B418AC" w:rsidRPr="00B418AC" w:rsidRDefault="00B418AC" w:rsidP="00B418AC">
      <w:pPr>
        <w:pStyle w:val="NormalWeb"/>
        <w:numPr>
          <w:ilvl w:val="0"/>
          <w:numId w:val="12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  <w:b/>
          <w:bCs/>
        </w:rPr>
        <w:t>Verificar:</w:t>
      </w:r>
      <w:r w:rsidRPr="00B418AC">
        <w:rPr>
          <w:rFonts w:ascii="Arial" w:hAnsi="Arial" w:cs="Arial"/>
        </w:rPr>
        <w:t xml:space="preserve"> Confirmar que el rótulo esté escrito con tinta indeleble.</w:t>
      </w:r>
    </w:p>
    <w:p w14:paraId="77BD59F9" w14:textId="77777777" w:rsidR="00B418AC" w:rsidRPr="00B418AC" w:rsidRDefault="00B418AC" w:rsidP="00B418AC">
      <w:pPr>
        <w:pStyle w:val="NormalWeb"/>
        <w:numPr>
          <w:ilvl w:val="0"/>
          <w:numId w:val="12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  <w:b/>
          <w:bCs/>
        </w:rPr>
        <w:t>Conservación y traslado:</w:t>
      </w:r>
      <w:r w:rsidRPr="00B418AC">
        <w:rPr>
          <w:rFonts w:ascii="Arial" w:hAnsi="Arial" w:cs="Arial"/>
        </w:rPr>
        <w:t xml:space="preserve"> Guardar en un lugar fresco o en conservadora. Enviar al laboratorio en el menor tiempo posible (tiempo máximo de entrega: 4 días).</w:t>
      </w:r>
    </w:p>
    <w:p w14:paraId="36319EB1" w14:textId="77777777" w:rsidR="00B418AC" w:rsidRPr="00B418AC" w:rsidRDefault="007B281E" w:rsidP="00B418AC">
      <w:pPr>
        <w:pStyle w:val="Ttulo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418AC" w:rsidRPr="00B418AC">
        <w:rPr>
          <w:rFonts w:ascii="Arial" w:hAnsi="Arial" w:cs="Arial"/>
        </w:rPr>
        <w:t>. Toma de Muestra para Análisis Microbiológico</w:t>
      </w:r>
    </w:p>
    <w:p w14:paraId="28A1C23F" w14:textId="77777777" w:rsidR="00B418AC" w:rsidRPr="00B418AC" w:rsidRDefault="00B418AC" w:rsidP="00B418AC">
      <w:pPr>
        <w:pStyle w:val="NormalWeb"/>
        <w:numPr>
          <w:ilvl w:val="0"/>
          <w:numId w:val="13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  <w:b/>
          <w:bCs/>
        </w:rPr>
        <w:t>Asepsia inicial:</w:t>
      </w:r>
      <w:r w:rsidRPr="00B418AC">
        <w:rPr>
          <w:rFonts w:ascii="Arial" w:hAnsi="Arial" w:cs="Arial"/>
        </w:rPr>
        <w:t xml:space="preserve"> Utilizar únicamente envases estériles y mantener precaución extrema para evitar la contaminación cruzada.</w:t>
      </w:r>
    </w:p>
    <w:p w14:paraId="60A5AB79" w14:textId="77777777" w:rsidR="00B418AC" w:rsidRPr="00B418AC" w:rsidRDefault="00B418AC" w:rsidP="00B418AC">
      <w:pPr>
        <w:pStyle w:val="NormalWeb"/>
        <w:numPr>
          <w:ilvl w:val="0"/>
          <w:numId w:val="13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  <w:b/>
          <w:bCs/>
        </w:rPr>
        <w:lastRenderedPageBreak/>
        <w:t>Rotular:</w:t>
      </w:r>
      <w:r w:rsidRPr="00B418AC">
        <w:rPr>
          <w:rFonts w:ascii="Arial" w:hAnsi="Arial" w:cs="Arial"/>
        </w:rPr>
        <w:t xml:space="preserve"> Identificar el envase antes de la toma.</w:t>
      </w:r>
    </w:p>
    <w:p w14:paraId="4EB030D3" w14:textId="77777777" w:rsidR="00B418AC" w:rsidRPr="00B418AC" w:rsidRDefault="00B418AC" w:rsidP="00B418AC">
      <w:pPr>
        <w:pStyle w:val="NormalWeb"/>
        <w:numPr>
          <w:ilvl w:val="0"/>
          <w:numId w:val="13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  <w:b/>
          <w:bCs/>
        </w:rPr>
        <w:t>Desinfección y purga:</w:t>
      </w:r>
      <w:r w:rsidRPr="00B418AC">
        <w:rPr>
          <w:rFonts w:ascii="Arial" w:hAnsi="Arial" w:cs="Arial"/>
        </w:rPr>
        <w:t xml:space="preserve"> Flamear con encendedor o mechero la salida del grifo metálico (si es plástico, aplicar calor mínimo para no deteriorarlo). Abrir la llave o activar el bombeo y dejar correr el agua (chorro moderado) hasta asegurar el recambio desde la fuente original.</w:t>
      </w:r>
    </w:p>
    <w:p w14:paraId="584DEFC2" w14:textId="77777777" w:rsidR="00B418AC" w:rsidRPr="00B418AC" w:rsidRDefault="00B418AC" w:rsidP="00B418AC">
      <w:pPr>
        <w:pStyle w:val="NormalWeb"/>
        <w:numPr>
          <w:ilvl w:val="0"/>
          <w:numId w:val="13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  <w:b/>
          <w:bCs/>
        </w:rPr>
        <w:t>Apertura del envase:</w:t>
      </w:r>
      <w:r w:rsidRPr="00B418AC">
        <w:rPr>
          <w:rFonts w:ascii="Arial" w:hAnsi="Arial" w:cs="Arial"/>
        </w:rPr>
        <w:t xml:space="preserve"> Abrir el recipiente estéril sosteniendo la tapa hacia abajo. No tocar los bordes, la boca ni el interior.</w:t>
      </w:r>
    </w:p>
    <w:p w14:paraId="40F3CEE7" w14:textId="77777777" w:rsidR="00B418AC" w:rsidRPr="00B418AC" w:rsidRDefault="00B418AC" w:rsidP="00B418AC">
      <w:pPr>
        <w:pStyle w:val="NormalWeb"/>
        <w:numPr>
          <w:ilvl w:val="0"/>
          <w:numId w:val="13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  <w:b/>
          <w:bCs/>
        </w:rPr>
        <w:t>Llenado:</w:t>
      </w:r>
      <w:r w:rsidRPr="00B418AC">
        <w:rPr>
          <w:rFonts w:ascii="Arial" w:hAnsi="Arial" w:cs="Arial"/>
        </w:rPr>
        <w:t xml:space="preserve"> Mantener el frasco inclinado a 45° para evitar el ingreso de partículas en suspensión. Llenar dejando cámara de aire.</w:t>
      </w:r>
    </w:p>
    <w:p w14:paraId="64553D32" w14:textId="77777777" w:rsidR="00B418AC" w:rsidRPr="00B418AC" w:rsidRDefault="00B418AC" w:rsidP="00B418AC">
      <w:pPr>
        <w:pStyle w:val="NormalWeb"/>
        <w:numPr>
          <w:ilvl w:val="0"/>
          <w:numId w:val="13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  <w:b/>
          <w:bCs/>
        </w:rPr>
        <w:t>Cerrar:</w:t>
      </w:r>
      <w:r w:rsidRPr="00B418AC">
        <w:rPr>
          <w:rFonts w:ascii="Arial" w:hAnsi="Arial" w:cs="Arial"/>
        </w:rPr>
        <w:t xml:space="preserve"> Tapar inmediatamente garantizando un cierre perfecto.</w:t>
      </w:r>
    </w:p>
    <w:p w14:paraId="351999BB" w14:textId="77777777" w:rsidR="00B418AC" w:rsidRPr="00B418AC" w:rsidRDefault="00B418AC" w:rsidP="00B418AC">
      <w:pPr>
        <w:pStyle w:val="NormalWeb"/>
        <w:numPr>
          <w:ilvl w:val="0"/>
          <w:numId w:val="13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  <w:b/>
          <w:bCs/>
        </w:rPr>
        <w:t>Conservación:</w:t>
      </w:r>
      <w:r w:rsidRPr="00B418AC">
        <w:rPr>
          <w:rFonts w:ascii="Arial" w:hAnsi="Arial" w:cs="Arial"/>
        </w:rPr>
        <w:t xml:space="preserve"> Almacenar en conservadora oscura con </w:t>
      </w:r>
      <w:r w:rsidR="007B281E">
        <w:rPr>
          <w:rFonts w:ascii="Arial" w:hAnsi="Arial" w:cs="Arial"/>
        </w:rPr>
        <w:t xml:space="preserve">paquetes de gel refrigerante o </w:t>
      </w:r>
      <w:r w:rsidRPr="00B418AC">
        <w:rPr>
          <w:rFonts w:ascii="Arial" w:hAnsi="Arial" w:cs="Arial"/>
        </w:rPr>
        <w:t>hielo limpio</w:t>
      </w:r>
      <w:r w:rsidR="007B281E">
        <w:rPr>
          <w:rFonts w:ascii="Arial" w:hAnsi="Arial" w:cs="Arial"/>
        </w:rPr>
        <w:t>,</w:t>
      </w:r>
      <w:r w:rsidRPr="00B418AC">
        <w:rPr>
          <w:rFonts w:ascii="Arial" w:hAnsi="Arial" w:cs="Arial"/>
        </w:rPr>
        <w:t xml:space="preserve"> o en heladera. </w:t>
      </w:r>
      <w:r w:rsidRPr="00B418AC">
        <w:rPr>
          <w:rFonts w:ascii="Arial" w:hAnsi="Arial" w:cs="Arial"/>
          <w:b/>
          <w:bCs/>
        </w:rPr>
        <w:t>Nunca congelar ni colocar en freezer.</w:t>
      </w:r>
      <w:r w:rsidRPr="00B418AC">
        <w:rPr>
          <w:rFonts w:ascii="Arial" w:hAnsi="Arial" w:cs="Arial"/>
        </w:rPr>
        <w:t xml:space="preserve"> Mantener la conservadora aislada de comidas u otros elementos.</w:t>
      </w:r>
    </w:p>
    <w:p w14:paraId="322B6A5C" w14:textId="77777777" w:rsidR="00191BE7" w:rsidRPr="007B281E" w:rsidRDefault="00B418AC" w:rsidP="007B281E">
      <w:pPr>
        <w:pStyle w:val="NormalWeb"/>
        <w:numPr>
          <w:ilvl w:val="0"/>
          <w:numId w:val="13"/>
        </w:numPr>
        <w:jc w:val="both"/>
        <w:rPr>
          <w:rFonts w:ascii="Arial" w:hAnsi="Arial" w:cs="Arial"/>
        </w:rPr>
      </w:pPr>
      <w:r w:rsidRPr="00B418AC">
        <w:rPr>
          <w:rFonts w:ascii="Arial" w:hAnsi="Arial" w:cs="Arial"/>
          <w:b/>
          <w:bCs/>
        </w:rPr>
        <w:t>Traslado:</w:t>
      </w:r>
      <w:r w:rsidRPr="00B418AC">
        <w:rPr>
          <w:rFonts w:ascii="Arial" w:hAnsi="Arial" w:cs="Arial"/>
        </w:rPr>
        <w:t xml:space="preserve"> Enviar al laboratorio lo antes posible, en condiciones de oscuridad y refrigeración. Se recomienda realizar el traslado </w:t>
      </w:r>
      <w:r w:rsidR="007B281E">
        <w:rPr>
          <w:rFonts w:ascii="Arial" w:hAnsi="Arial" w:cs="Arial"/>
        </w:rPr>
        <w:t>pocas horas después de la toma de muestra</w:t>
      </w:r>
      <w:r w:rsidRPr="00B418AC">
        <w:rPr>
          <w:rFonts w:ascii="Arial" w:hAnsi="Arial" w:cs="Arial"/>
        </w:rPr>
        <w:t>.</w:t>
      </w:r>
      <w:r w:rsidR="00A15F46" w:rsidRPr="007B281E">
        <w:rPr>
          <w:rFonts w:ascii="Arial" w:hAnsi="Arial" w:cs="Arial"/>
        </w:rPr>
        <w:t xml:space="preserve"> </w:t>
      </w:r>
    </w:p>
    <w:sectPr w:rsidR="00191BE7" w:rsidRPr="007B281E" w:rsidSect="00522655">
      <w:headerReference w:type="default" r:id="rId7"/>
      <w:footerReference w:type="even" r:id="rId8"/>
      <w:footerReference w:type="default" r:id="rId9"/>
      <w:pgSz w:w="12240" w:h="15840"/>
      <w:pgMar w:top="1417" w:right="1701" w:bottom="1417" w:left="1701" w:header="720" w:footer="720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8B9A7" w14:textId="77777777" w:rsidR="004D27CF" w:rsidRDefault="004D27CF">
      <w:r>
        <w:separator/>
      </w:r>
    </w:p>
  </w:endnote>
  <w:endnote w:type="continuationSeparator" w:id="0">
    <w:p w14:paraId="383F7483" w14:textId="77777777" w:rsidR="004D27CF" w:rsidRDefault="004D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FADF" w14:textId="77777777" w:rsidR="00522655" w:rsidRDefault="00522655" w:rsidP="009C67E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3742E8" w14:textId="77777777" w:rsidR="00522655" w:rsidRDefault="005226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887B2" w14:textId="77777777" w:rsidR="00522655" w:rsidRDefault="00522655" w:rsidP="009C67E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6723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F5A7ED9" w14:textId="77777777" w:rsidR="00522655" w:rsidRPr="000332C8" w:rsidRDefault="000332C8">
    <w:pPr>
      <w:pStyle w:val="Piedepgina"/>
    </w:pPr>
    <w:r>
      <w:rPr>
        <w:rStyle w:val="Nmerodepgina"/>
      </w:rPr>
      <w:t xml:space="preserve">                                                                 </w:t>
    </w:r>
    <w:proofErr w:type="spellStart"/>
    <w:r w:rsidRPr="000332C8">
      <w:rPr>
        <w:rStyle w:val="Nmerodepgina"/>
        <w:rFonts w:ascii="Arial" w:hAnsi="Arial" w:cs="Arial"/>
      </w:rPr>
      <w:t>Pagina</w:t>
    </w:r>
    <w:proofErr w:type="spellEnd"/>
    <w:r w:rsidRPr="000332C8">
      <w:rPr>
        <w:rStyle w:val="Nmerodepgina"/>
        <w:rFonts w:ascii="Arial" w:hAnsi="Arial" w:cs="Arial"/>
      </w:rPr>
      <w:t xml:space="preserve"> 1 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4D5F4" w14:textId="77777777" w:rsidR="004D27CF" w:rsidRDefault="004D27CF">
      <w:r>
        <w:separator/>
      </w:r>
    </w:p>
  </w:footnote>
  <w:footnote w:type="continuationSeparator" w:id="0">
    <w:p w14:paraId="28E98E79" w14:textId="77777777" w:rsidR="004D27CF" w:rsidRDefault="004D2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5580"/>
      <w:gridCol w:w="1708"/>
    </w:tblGrid>
    <w:tr w:rsidR="000534CE" w14:paraId="21B9895E" w14:textId="77777777" w:rsidTr="00AC5047">
      <w:trPr>
        <w:cantSplit/>
        <w:trHeight w:val="413"/>
      </w:trPr>
      <w:tc>
        <w:tcPr>
          <w:tcW w:w="1690" w:type="dxa"/>
          <w:vMerge w:val="restart"/>
          <w:vAlign w:val="center"/>
        </w:tcPr>
        <w:p w14:paraId="7D256D67" w14:textId="77777777" w:rsidR="000534CE" w:rsidRPr="0074606B" w:rsidRDefault="008F74AA" w:rsidP="00AC5047">
          <w:pPr>
            <w:pStyle w:val="Encabezado"/>
            <w:jc w:val="center"/>
            <w:rPr>
              <w:rFonts w:ascii="Arial" w:hAnsi="Arial" w:cs="Arial"/>
              <w:sz w:val="30"/>
              <w:szCs w:val="30"/>
            </w:rPr>
          </w:pPr>
          <w:r>
            <w:rPr>
              <w:noProof/>
              <w:lang w:eastAsia="es-AR"/>
            </w:rPr>
            <w:drawing>
              <wp:inline distT="0" distB="0" distL="0" distR="0" wp14:anchorId="48B7D8A1" wp14:editId="4FFE8522">
                <wp:extent cx="920750" cy="311150"/>
                <wp:effectExtent l="0" t="0" r="0" b="0"/>
                <wp:docPr id="1" name="Imagen 1" descr="LOG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75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  <w:vMerge w:val="restart"/>
          <w:vAlign w:val="center"/>
        </w:tcPr>
        <w:p w14:paraId="1FE2F777" w14:textId="77777777" w:rsidR="000534CE" w:rsidRDefault="000534CE" w:rsidP="00AC5047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</w:p>
        <w:p w14:paraId="613C4B33" w14:textId="77777777" w:rsidR="00522655" w:rsidRDefault="00922385" w:rsidP="00AC5047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INSTRUCTIVO DE TOMA Y CONSERVACION DE MUESTRAS</w:t>
          </w:r>
        </w:p>
        <w:p w14:paraId="611DBB7E" w14:textId="77777777" w:rsidR="000534CE" w:rsidRDefault="000534CE" w:rsidP="00AC5047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</w:p>
        <w:p w14:paraId="4CAEB40E" w14:textId="77777777" w:rsidR="000534CE" w:rsidRPr="0074606B" w:rsidRDefault="000534CE" w:rsidP="00AC5047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</w:p>
      </w:tc>
      <w:tc>
        <w:tcPr>
          <w:tcW w:w="1708" w:type="dxa"/>
          <w:vAlign w:val="center"/>
        </w:tcPr>
        <w:p w14:paraId="653E4A69" w14:textId="77777777" w:rsidR="000534CE" w:rsidRPr="0074606B" w:rsidRDefault="000534CE" w:rsidP="00AC5047">
          <w:pPr>
            <w:pStyle w:val="Encabezado"/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>POLP</w:t>
          </w:r>
          <w:r w:rsidR="00522655">
            <w:rPr>
              <w:rFonts w:ascii="Arial" w:hAnsi="Arial" w:cs="Arial"/>
              <w:lang w:val="en-US"/>
            </w:rPr>
            <w:t>10-A1</w:t>
          </w:r>
        </w:p>
      </w:tc>
    </w:tr>
    <w:tr w:rsidR="000534CE" w14:paraId="7021BB98" w14:textId="77777777" w:rsidTr="00922385">
      <w:trPr>
        <w:cantSplit/>
        <w:trHeight w:val="557"/>
      </w:trPr>
      <w:tc>
        <w:tcPr>
          <w:tcW w:w="1690" w:type="dxa"/>
          <w:vMerge/>
          <w:vAlign w:val="center"/>
        </w:tcPr>
        <w:p w14:paraId="65D7B237" w14:textId="77777777" w:rsidR="000534CE" w:rsidRDefault="000534CE" w:rsidP="00AC5047">
          <w:pPr>
            <w:pStyle w:val="Encabezado"/>
            <w:jc w:val="center"/>
          </w:pPr>
        </w:p>
      </w:tc>
      <w:tc>
        <w:tcPr>
          <w:tcW w:w="5580" w:type="dxa"/>
          <w:vMerge/>
          <w:vAlign w:val="center"/>
        </w:tcPr>
        <w:p w14:paraId="1EDCC45F" w14:textId="77777777" w:rsidR="000534CE" w:rsidRDefault="000534CE" w:rsidP="00AC5047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</w:p>
      </w:tc>
      <w:tc>
        <w:tcPr>
          <w:tcW w:w="1708" w:type="dxa"/>
          <w:vAlign w:val="center"/>
        </w:tcPr>
        <w:p w14:paraId="16662291" w14:textId="77777777" w:rsidR="000534CE" w:rsidRDefault="00E12BAD" w:rsidP="00AC5047">
          <w:pPr>
            <w:pStyle w:val="Encabezado"/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>Rev. 03</w:t>
          </w:r>
        </w:p>
        <w:p w14:paraId="6748D50A" w14:textId="77777777" w:rsidR="009805C4" w:rsidRDefault="009805C4" w:rsidP="00AC5047">
          <w:pPr>
            <w:pStyle w:val="Encabezado"/>
            <w:jc w:val="center"/>
            <w:rPr>
              <w:rFonts w:ascii="Arial" w:hAnsi="Arial" w:cs="Arial"/>
              <w:lang w:val="en-US"/>
            </w:rPr>
          </w:pPr>
        </w:p>
      </w:tc>
    </w:tr>
  </w:tbl>
  <w:p w14:paraId="5926A3B0" w14:textId="77777777" w:rsidR="000534CE" w:rsidRDefault="000534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F3A"/>
    <w:multiLevelType w:val="multilevel"/>
    <w:tmpl w:val="5F1E8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64C9F"/>
    <w:multiLevelType w:val="multilevel"/>
    <w:tmpl w:val="6562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513A0"/>
    <w:multiLevelType w:val="hybridMultilevel"/>
    <w:tmpl w:val="9F4804B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724393"/>
    <w:multiLevelType w:val="hybridMultilevel"/>
    <w:tmpl w:val="6B865930"/>
    <w:lvl w:ilvl="0" w:tplc="855A61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A7738"/>
    <w:multiLevelType w:val="multilevel"/>
    <w:tmpl w:val="EBE8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481743"/>
    <w:multiLevelType w:val="multilevel"/>
    <w:tmpl w:val="26528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FC6942"/>
    <w:multiLevelType w:val="multilevel"/>
    <w:tmpl w:val="B55E5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C2468A"/>
    <w:multiLevelType w:val="hybridMultilevel"/>
    <w:tmpl w:val="9A32199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862EDC"/>
    <w:multiLevelType w:val="multilevel"/>
    <w:tmpl w:val="B4AE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162D6E"/>
    <w:multiLevelType w:val="multilevel"/>
    <w:tmpl w:val="CEE85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61151B"/>
    <w:multiLevelType w:val="hybridMultilevel"/>
    <w:tmpl w:val="7A0C9B54"/>
    <w:lvl w:ilvl="0" w:tplc="F1527D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26777"/>
    <w:multiLevelType w:val="multilevel"/>
    <w:tmpl w:val="24E27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9B0F88"/>
    <w:multiLevelType w:val="multilevel"/>
    <w:tmpl w:val="F1C8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370148">
    <w:abstractNumId w:val="2"/>
  </w:num>
  <w:num w:numId="2" w16cid:durableId="630018518">
    <w:abstractNumId w:val="9"/>
  </w:num>
  <w:num w:numId="3" w16cid:durableId="1754470150">
    <w:abstractNumId w:val="7"/>
  </w:num>
  <w:num w:numId="4" w16cid:durableId="710231950">
    <w:abstractNumId w:val="6"/>
  </w:num>
  <w:num w:numId="5" w16cid:durableId="1563175725">
    <w:abstractNumId w:val="12"/>
  </w:num>
  <w:num w:numId="6" w16cid:durableId="1275597141">
    <w:abstractNumId w:val="5"/>
  </w:num>
  <w:num w:numId="7" w16cid:durableId="733822873">
    <w:abstractNumId w:val="1"/>
  </w:num>
  <w:num w:numId="8" w16cid:durableId="200216332">
    <w:abstractNumId w:val="3"/>
  </w:num>
  <w:num w:numId="9" w16cid:durableId="194271538">
    <w:abstractNumId w:val="10"/>
  </w:num>
  <w:num w:numId="10" w16cid:durableId="1152991881">
    <w:abstractNumId w:val="4"/>
  </w:num>
  <w:num w:numId="11" w16cid:durableId="191263934">
    <w:abstractNumId w:val="8"/>
  </w:num>
  <w:num w:numId="12" w16cid:durableId="1348673337">
    <w:abstractNumId w:val="0"/>
  </w:num>
  <w:num w:numId="13" w16cid:durableId="19999639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715"/>
    <w:rsid w:val="00000AAE"/>
    <w:rsid w:val="00021572"/>
    <w:rsid w:val="000332C8"/>
    <w:rsid w:val="000534CE"/>
    <w:rsid w:val="000C2495"/>
    <w:rsid w:val="00103B3C"/>
    <w:rsid w:val="00106FF2"/>
    <w:rsid w:val="0011403E"/>
    <w:rsid w:val="00167230"/>
    <w:rsid w:val="001822DE"/>
    <w:rsid w:val="00186D1B"/>
    <w:rsid w:val="00191BE7"/>
    <w:rsid w:val="001D7DE6"/>
    <w:rsid w:val="002049F5"/>
    <w:rsid w:val="002464D9"/>
    <w:rsid w:val="002829B7"/>
    <w:rsid w:val="002879CB"/>
    <w:rsid w:val="003702D2"/>
    <w:rsid w:val="003B3B31"/>
    <w:rsid w:val="00412A1F"/>
    <w:rsid w:val="0046394B"/>
    <w:rsid w:val="00473A53"/>
    <w:rsid w:val="00480BDA"/>
    <w:rsid w:val="004A39D0"/>
    <w:rsid w:val="004D27CF"/>
    <w:rsid w:val="004D5FBE"/>
    <w:rsid w:val="005127DB"/>
    <w:rsid w:val="00522655"/>
    <w:rsid w:val="005A2328"/>
    <w:rsid w:val="00624BDD"/>
    <w:rsid w:val="00696DE1"/>
    <w:rsid w:val="006D64B7"/>
    <w:rsid w:val="007146E9"/>
    <w:rsid w:val="007440EA"/>
    <w:rsid w:val="00746AA9"/>
    <w:rsid w:val="00792715"/>
    <w:rsid w:val="007B281E"/>
    <w:rsid w:val="008A1690"/>
    <w:rsid w:val="008F74AA"/>
    <w:rsid w:val="00916552"/>
    <w:rsid w:val="00922385"/>
    <w:rsid w:val="00927B3B"/>
    <w:rsid w:val="00930247"/>
    <w:rsid w:val="00933D95"/>
    <w:rsid w:val="0096132D"/>
    <w:rsid w:val="009805C4"/>
    <w:rsid w:val="009B05C9"/>
    <w:rsid w:val="009C67E0"/>
    <w:rsid w:val="009D1608"/>
    <w:rsid w:val="00A15F46"/>
    <w:rsid w:val="00A32F84"/>
    <w:rsid w:val="00A33CE3"/>
    <w:rsid w:val="00A346EB"/>
    <w:rsid w:val="00AC5047"/>
    <w:rsid w:val="00B418AC"/>
    <w:rsid w:val="00B44928"/>
    <w:rsid w:val="00B95C23"/>
    <w:rsid w:val="00BF395B"/>
    <w:rsid w:val="00C627A2"/>
    <w:rsid w:val="00C66299"/>
    <w:rsid w:val="00CC433B"/>
    <w:rsid w:val="00D27B19"/>
    <w:rsid w:val="00D3221C"/>
    <w:rsid w:val="00E12BAD"/>
    <w:rsid w:val="00E32358"/>
    <w:rsid w:val="00E617BD"/>
    <w:rsid w:val="00F072AA"/>
    <w:rsid w:val="00FD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A2763"/>
  <w15:docId w15:val="{59DF4E15-6B82-484F-A009-99FDC3D7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186D1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24"/>
    </w:rPr>
  </w:style>
  <w:style w:type="paragraph" w:styleId="Encabezado">
    <w:name w:val="header"/>
    <w:basedOn w:val="Normal"/>
    <w:rsid w:val="00933D95"/>
    <w:pPr>
      <w:tabs>
        <w:tab w:val="center" w:pos="4252"/>
        <w:tab w:val="right" w:pos="8504"/>
      </w:tabs>
    </w:pPr>
    <w:rPr>
      <w:lang w:val="es-AR"/>
    </w:rPr>
  </w:style>
  <w:style w:type="paragraph" w:styleId="Piedepgina">
    <w:name w:val="footer"/>
    <w:basedOn w:val="Normal"/>
    <w:rsid w:val="000534C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22655"/>
  </w:style>
  <w:style w:type="paragraph" w:styleId="Prrafodelista">
    <w:name w:val="List Paragraph"/>
    <w:basedOn w:val="Normal"/>
    <w:uiPriority w:val="34"/>
    <w:qFormat/>
    <w:rsid w:val="007146E9"/>
    <w:pPr>
      <w:ind w:left="708"/>
    </w:pPr>
  </w:style>
  <w:style w:type="paragraph" w:styleId="NormalWeb">
    <w:name w:val="Normal (Web)"/>
    <w:basedOn w:val="Normal"/>
    <w:uiPriority w:val="99"/>
    <w:unhideWhenUsed/>
    <w:rsid w:val="007146E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73A5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ES" w:eastAsia="en-US"/>
    </w:rPr>
  </w:style>
  <w:style w:type="paragraph" w:styleId="Textodeglobo">
    <w:name w:val="Balloon Text"/>
    <w:basedOn w:val="Normal"/>
    <w:link w:val="TextodegloboCar"/>
    <w:rsid w:val="002829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829B7"/>
    <w:rPr>
      <w:rFonts w:ascii="Tahoma" w:hAnsi="Tahoma" w:cs="Tahoma"/>
      <w:sz w:val="16"/>
      <w:szCs w:val="16"/>
      <w:lang w:val="es-ES" w:eastAsia="es-ES"/>
    </w:rPr>
  </w:style>
  <w:style w:type="character" w:customStyle="1" w:styleId="Ttulo3Car">
    <w:name w:val="Título 3 Car"/>
    <w:link w:val="Ttulo3"/>
    <w:semiHidden/>
    <w:rsid w:val="00186D1B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styleId="Textoennegrita">
    <w:name w:val="Strong"/>
    <w:uiPriority w:val="22"/>
    <w:qFormat/>
    <w:rsid w:val="00186D1B"/>
    <w:rPr>
      <w:b/>
      <w:bCs/>
    </w:rPr>
  </w:style>
  <w:style w:type="character" w:customStyle="1" w:styleId="Ttulo1Car">
    <w:name w:val="Título 1 Car"/>
    <w:link w:val="Ttulo1"/>
    <w:rsid w:val="00106FF2"/>
    <w:rPr>
      <w:b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INSTRUCCIONES PARA TOMA DE MUESTRAS Y BUENA MANIPULACION DE LOS ITEMS DE ENSAYOS: EFLUENTES</vt:lpstr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INSTRUCCIONES PARA TOMA DE MUESTRAS Y BUENA MANIPULACION DE LOS ITEMS DE ENSAYOS: EFLUENTES</dc:title>
  <dc:creator>urdinez</dc:creator>
  <cp:lastModifiedBy>jose cuevas</cp:lastModifiedBy>
  <cp:revision>7</cp:revision>
  <cp:lastPrinted>2026-05-27T11:44:00Z</cp:lastPrinted>
  <dcterms:created xsi:type="dcterms:W3CDTF">2026-05-27T11:30:00Z</dcterms:created>
  <dcterms:modified xsi:type="dcterms:W3CDTF">2026-07-03T18:09:00Z</dcterms:modified>
</cp:coreProperties>
</file>